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Jornadas de capacitación continua en Medicina Legal 2026 División Morgue.</w:t>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5">
      <w:pPr>
        <w:widowControl w:val="0"/>
        <w:spacing w:after="0" w:line="312" w:lineRule="auto"/>
        <w:ind w:right="344"/>
        <w:jc w:val="both"/>
        <w:rPr>
          <w:rFonts w:ascii="Arial" w:cs="Arial" w:eastAsia="Arial" w:hAnsi="Arial"/>
        </w:rPr>
      </w:pPr>
      <w:r w:rsidDel="00000000" w:rsidR="00000000" w:rsidRPr="00000000">
        <w:rPr>
          <w:rFonts w:ascii="Arial" w:cs="Arial" w:eastAsia="Arial" w:hAnsi="Arial"/>
          <w:rtl w:val="0"/>
        </w:rPr>
        <w:t xml:space="preserve">Se impulsan estas Jornadas de capacitación frente a la necesidad de actualizar los conocimientos médico legales para los profesionales médicos y técnicos evisceradores. Como parte de las incumbencias se espera que logren articular lo pericial conjuntamente con la organización doctrinaria policial. Es por ello que estas jornadas de capacitación para la División Morgue pretenden incluir a los destinatarios como auxiliares de justicia en las labores vinculadas a la Dirección de Medicina Legal y División Patología Forense.</w:t>
      </w:r>
    </w:p>
    <w:p w:rsidR="00000000" w:rsidDel="00000000" w:rsidP="00000000" w:rsidRDefault="00000000" w:rsidRPr="00000000" w14:paraId="00000006">
      <w:pPr>
        <w:widowControl w:val="0"/>
        <w:spacing w:after="0" w:line="312" w:lineRule="auto"/>
        <w:ind w:right="344"/>
        <w:jc w:val="both"/>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La propuesta está destinada a profesionales médicos y técnicos evisceradores que cumplen funciones en la Superintendencia de Policía Científica.</w:t>
      </w:r>
    </w:p>
    <w:p w:rsidR="00000000" w:rsidDel="00000000" w:rsidP="00000000" w:rsidRDefault="00000000" w:rsidRPr="00000000" w14:paraId="00000009">
      <w:pPr>
        <w:spacing w:after="0" w:line="36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 Virtual</w:t>
      </w:r>
    </w:p>
    <w:p w:rsidR="00000000" w:rsidDel="00000000" w:rsidP="00000000" w:rsidRDefault="00000000" w:rsidRPr="00000000" w14:paraId="0000000C">
      <w:pPr>
        <w:spacing w:after="0"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i w:val="1"/>
          <w:iCs w:val="1"/>
          <w:color w:val="000000"/>
        </w:rPr>
      </w:pPr>
      <w:r w:rsidDel="00000000" w:rsidR="00000000" w:rsidRPr="00000000">
        <w:rPr>
          <w:rFonts w:ascii="Arial" w:cs="Arial" w:eastAsia="Arial" w:hAnsi="Arial"/>
          <w:color w:val="000000"/>
          <w:rtl w:val="0"/>
        </w:rPr>
        <w:t xml:space="preserve"> 12</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horas reloj.</w:t>
      </w:r>
    </w:p>
    <w:p w:rsidR="00000000" w:rsidDel="00000000" w:rsidP="00000000" w:rsidRDefault="00000000" w:rsidRPr="00000000" w14:paraId="0000000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0">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edición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Desde el 10 de septiembre al 19 de noviembre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A">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 (221)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1B">
      <w:pPr>
        <w:pStyle w:val="Heading1"/>
        <w:spacing w:after="0" w:before="0" w:line="360" w:lineRule="auto"/>
        <w:jc w:val="both"/>
        <w:rPr>
          <w:rFonts w:ascii="Arial" w:cs="Arial" w:eastAsia="Arial" w:hAnsi="Arial"/>
        </w:rPr>
      </w:pPr>
      <w:bookmarkStart w:colFirst="0" w:colLast="0" w:name="_heading=h.x2gszobveopo"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27147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xhxsP37vGgQD5Mp54V6YgRjcNg==">CgMxLjAyDmgueDJnc3pvYnZlb3BvOAByITFVZTU0Y3NzWXVEVTlkcWNST2U4czZOVHZpR3BrWGc0QQ==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